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A5" w:rsidRPr="007A2EA5" w:rsidRDefault="007A2EA5" w:rsidP="007A2EA5">
      <w:pPr>
        <w:spacing w:after="0" w:line="240" w:lineRule="auto"/>
        <w:ind w:firstLine="540"/>
        <w:jc w:val="right"/>
        <w:rPr>
          <w:rFonts w:eastAsia="Times New Roman"/>
          <w:b/>
          <w:sz w:val="28"/>
          <w:szCs w:val="28"/>
          <w:lang w:eastAsia="ru-RU"/>
        </w:rPr>
      </w:pPr>
      <w:bookmarkStart w:id="0" w:name="_GoBack"/>
      <w:bookmarkEnd w:id="0"/>
      <w:r w:rsidRPr="007A2EA5">
        <w:rPr>
          <w:rFonts w:eastAsia="Times New Roman"/>
          <w:sz w:val="28"/>
          <w:szCs w:val="28"/>
          <w:lang w:eastAsia="ru-RU"/>
        </w:rPr>
        <w:t>Додаток</w:t>
      </w:r>
      <w:r w:rsidRPr="007A2EA5">
        <w:rPr>
          <w:rFonts w:eastAsia="Times New Roman"/>
          <w:sz w:val="28"/>
          <w:szCs w:val="28"/>
          <w:lang w:eastAsia="ru-RU"/>
        </w:rPr>
        <w:br/>
        <w:t>до листа Міністерства</w:t>
      </w:r>
      <w:r w:rsidRPr="007A2EA5">
        <w:rPr>
          <w:rFonts w:eastAsia="Times New Roman"/>
          <w:sz w:val="28"/>
          <w:szCs w:val="28"/>
          <w:lang w:eastAsia="ru-RU"/>
        </w:rPr>
        <w:br/>
        <w:t>освіти і науки України</w:t>
      </w:r>
      <w:r w:rsidRPr="007A2EA5">
        <w:rPr>
          <w:rFonts w:eastAsia="Times New Roman"/>
          <w:b/>
          <w:bCs/>
          <w:sz w:val="28"/>
          <w:szCs w:val="28"/>
          <w:lang w:eastAsia="ru-RU"/>
        </w:rPr>
        <w:br/>
      </w:r>
      <w:hyperlink r:id="rId4" w:history="1">
        <w:r w:rsidRPr="007A2EA5">
          <w:rPr>
            <w:rStyle w:val="a3"/>
            <w:rFonts w:eastAsia="Times New Roman"/>
            <w:b/>
            <w:bCs/>
            <w:sz w:val="28"/>
            <w:szCs w:val="28"/>
            <w:lang w:eastAsia="ru-RU"/>
          </w:rPr>
          <w:t>від  03. 07. 2018 р. № 1/9-415</w:t>
        </w:r>
      </w:hyperlink>
    </w:p>
    <w:p w:rsidR="007A2EA5" w:rsidRDefault="007A2EA5" w:rsidP="007A2EA5">
      <w:pPr>
        <w:spacing w:after="0" w:line="240" w:lineRule="auto"/>
        <w:ind w:firstLine="540"/>
        <w:jc w:val="right"/>
        <w:rPr>
          <w:rFonts w:eastAsia="Times New Roman"/>
          <w:b/>
          <w:sz w:val="28"/>
          <w:szCs w:val="28"/>
          <w:lang w:eastAsia="ru-RU"/>
        </w:rPr>
      </w:pPr>
    </w:p>
    <w:p w:rsidR="007A2EA5" w:rsidRPr="007A2EA5" w:rsidRDefault="007A2EA5" w:rsidP="007A2EA5">
      <w:pPr>
        <w:spacing w:after="0" w:line="240" w:lineRule="auto"/>
        <w:ind w:firstLine="540"/>
        <w:jc w:val="center"/>
        <w:rPr>
          <w:rFonts w:eastAsia="Times New Roman"/>
          <w:b/>
          <w:sz w:val="28"/>
          <w:szCs w:val="28"/>
          <w:lang w:eastAsia="ru-RU"/>
        </w:rPr>
      </w:pPr>
      <w:r w:rsidRPr="007A2EA5">
        <w:rPr>
          <w:rFonts w:eastAsia="Times New Roman"/>
          <w:b/>
          <w:sz w:val="28"/>
          <w:szCs w:val="28"/>
          <w:lang w:eastAsia="ru-RU"/>
        </w:rPr>
        <w:t xml:space="preserve">Методичні рекомендації щодо викладання </w:t>
      </w:r>
      <w:r>
        <w:rPr>
          <w:rFonts w:eastAsia="Times New Roman"/>
          <w:b/>
          <w:sz w:val="28"/>
          <w:szCs w:val="28"/>
          <w:lang w:eastAsia="ru-RU"/>
        </w:rPr>
        <w:t>п</w:t>
      </w:r>
      <w:r w:rsidRPr="007A2EA5">
        <w:rPr>
          <w:rFonts w:eastAsia="Times New Roman"/>
          <w:b/>
          <w:sz w:val="28"/>
          <w:szCs w:val="28"/>
          <w:lang w:eastAsia="ru-RU"/>
        </w:rPr>
        <w:t>равознавств</w:t>
      </w:r>
      <w:r>
        <w:rPr>
          <w:rFonts w:eastAsia="Times New Roman"/>
          <w:b/>
          <w:sz w:val="28"/>
          <w:szCs w:val="28"/>
          <w:lang w:eastAsia="ru-RU"/>
        </w:rPr>
        <w:t>а у 2018/2019 навчальному році</w:t>
      </w:r>
    </w:p>
    <w:p w:rsidR="007A2EA5" w:rsidRPr="007A2EA5" w:rsidRDefault="007A2EA5" w:rsidP="007A2EA5">
      <w:pPr>
        <w:shd w:val="clear" w:color="auto" w:fill="FFFFFF"/>
        <w:spacing w:after="0" w:line="240" w:lineRule="auto"/>
        <w:ind w:firstLine="709"/>
        <w:jc w:val="both"/>
        <w:rPr>
          <w:rFonts w:eastAsia="Times New Roman"/>
          <w:sz w:val="28"/>
          <w:szCs w:val="28"/>
          <w:lang w:eastAsia="uk-UA"/>
        </w:rPr>
      </w:pPr>
      <w:r w:rsidRPr="007A2EA5">
        <w:rPr>
          <w:rFonts w:eastAsia="Times New Roman"/>
          <w:sz w:val="28"/>
          <w:szCs w:val="28"/>
          <w:lang w:eastAsia="uk-UA"/>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5" w:history="1">
        <w:r w:rsidRPr="007A2EA5">
          <w:rPr>
            <w:rFonts w:eastAsia="Times New Roman"/>
            <w:color w:val="0000FF"/>
            <w:sz w:val="28"/>
            <w:szCs w:val="28"/>
            <w:u w:val="single"/>
            <w:bdr w:val="none" w:sz="0" w:space="0" w:color="auto" w:frame="1"/>
            <w:lang w:eastAsia="uk-UA"/>
          </w:rPr>
          <w:t>www.mon.gov.ua</w:t>
        </w:r>
      </w:hyperlink>
      <w:r w:rsidRPr="007A2EA5">
        <w:rPr>
          <w:rFonts w:eastAsia="Times New Roman"/>
          <w:sz w:val="28"/>
          <w:szCs w:val="28"/>
          <w:u w:val="single"/>
          <w:bdr w:val="none" w:sz="0" w:space="0" w:color="auto" w:frame="1"/>
          <w:lang w:eastAsia="uk-UA"/>
        </w:rPr>
        <w:t xml:space="preserve">, </w:t>
      </w:r>
      <w:r w:rsidRPr="007A2EA5">
        <w:rPr>
          <w:rFonts w:eastAsia="Times New Roman"/>
          <w:sz w:val="28"/>
          <w:szCs w:val="28"/>
          <w:lang w:eastAsia="uk-UA"/>
        </w:rPr>
        <w:t>видані окремими брошурами та опубліковані у фахових виданнях.</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Відповідно до </w:t>
      </w:r>
      <w:r w:rsidRPr="007A2EA5">
        <w:rPr>
          <w:rFonts w:eastAsia="Calibri"/>
          <w:i/>
          <w:iCs/>
          <w:sz w:val="28"/>
          <w:szCs w:val="28"/>
          <w:bdr w:val="none" w:sz="0" w:space="0" w:color="auto" w:frame="1"/>
          <w:lang w:eastAsia="uk-UA"/>
        </w:rPr>
        <w:t>Керівних принципів освіти в галузі прав людини для систем середньої школи</w:t>
      </w:r>
      <w:r w:rsidRPr="007A2EA5">
        <w:rPr>
          <w:rFonts w:eastAsia="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7A2EA5">
        <w:rPr>
          <w:rFonts w:eastAsia="Calibri"/>
          <w:b/>
          <w:bCs/>
          <w:i/>
          <w:iCs/>
          <w:sz w:val="28"/>
          <w:szCs w:val="28"/>
          <w:bdr w:val="none" w:sz="0" w:space="0" w:color="auto" w:frame="1"/>
          <w:lang w:eastAsia="uk-UA"/>
        </w:rPr>
        <w:t xml:space="preserve">основні компетенції в галузі прав людини для учнів середніх шкіл </w:t>
      </w:r>
      <w:r w:rsidRPr="007A2EA5">
        <w:rPr>
          <w:rFonts w:eastAsia="Calibri"/>
          <w:i/>
          <w:iCs/>
          <w:sz w:val="28"/>
          <w:szCs w:val="28"/>
          <w:bdr w:val="none" w:sz="0" w:space="0" w:color="auto" w:frame="1"/>
          <w:lang w:eastAsia="uk-UA"/>
        </w:rPr>
        <w:t xml:space="preserve">включають такі основні елементи: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знання і розуміння</w:t>
      </w:r>
      <w:r w:rsidRPr="007A2EA5">
        <w:rPr>
          <w:rFonts w:eastAsia="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ставлення і цінності</w:t>
      </w:r>
      <w:r w:rsidRPr="007A2EA5">
        <w:rPr>
          <w:rFonts w:eastAsia="Times New Roman"/>
          <w:sz w:val="28"/>
          <w:szCs w:val="28"/>
          <w:lang w:eastAsia="uk-UA"/>
        </w:rPr>
        <w:t xml:space="preserve"> (повага до себе та інших, критичне мислення, толерантність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навички та поведінка</w:t>
      </w:r>
      <w:r w:rsidRPr="007A2EA5">
        <w:rPr>
          <w:rFonts w:eastAsia="Times New Roman"/>
          <w:sz w:val="28"/>
          <w:szCs w:val="28"/>
          <w:lang w:eastAsia="uk-UA"/>
        </w:rPr>
        <w:t xml:space="preserve"> (відстоювання прав людини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Під час викладання правознавства варто також звернути увагу на </w:t>
      </w:r>
      <w:r w:rsidRPr="007A2EA5">
        <w:rPr>
          <w:rFonts w:eastAsia="Calibri"/>
          <w:i/>
          <w:iCs/>
          <w:sz w:val="28"/>
          <w:szCs w:val="28"/>
          <w:bdr w:val="none" w:sz="0" w:space="0" w:color="auto" w:frame="1"/>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7A2EA5">
        <w:rPr>
          <w:rFonts w:eastAsia="Times New Roman"/>
          <w:sz w:val="28"/>
          <w:szCs w:val="28"/>
          <w:lang w:eastAsia="uk-UA"/>
        </w:rPr>
        <w:t xml:space="preserve"> (</w:t>
      </w:r>
      <w:proofErr w:type="spellStart"/>
      <w:r w:rsidRPr="007A2EA5">
        <w:rPr>
          <w:rFonts w:eastAsia="Times New Roman"/>
          <w:sz w:val="28"/>
          <w:szCs w:val="28"/>
          <w:lang w:eastAsia="uk-UA"/>
        </w:rPr>
        <w:t>соціогуманітарний</w:t>
      </w:r>
      <w:proofErr w:type="spellEnd"/>
      <w:r w:rsidRPr="007A2EA5">
        <w:rPr>
          <w:rFonts w:eastAsia="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7A2EA5">
        <w:rPr>
          <w:rFonts w:eastAsia="Times New Roman"/>
          <w:sz w:val="28"/>
          <w:szCs w:val="28"/>
          <w:lang w:eastAsia="uk-UA"/>
        </w:rPr>
        <w:t>надасть</w:t>
      </w:r>
      <w:proofErr w:type="spellEnd"/>
      <w:r w:rsidRPr="007A2EA5">
        <w:rPr>
          <w:rFonts w:eastAsia="Times New Roman"/>
          <w:sz w:val="28"/>
          <w:szCs w:val="28"/>
          <w:lang w:eastAsia="uk-UA"/>
        </w:rPr>
        <w:t xml:space="preserve"> можливість користуватися своїми правами і реалізовувати їх, а також поважати і відстоювати права інших.</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w:t>
      </w:r>
      <w:r w:rsidRPr="007A2EA5">
        <w:rPr>
          <w:rFonts w:eastAsia="Times New Roman"/>
          <w:sz w:val="28"/>
          <w:szCs w:val="28"/>
          <w:lang w:eastAsia="uk-UA"/>
        </w:rPr>
        <w:lastRenderedPageBreak/>
        <w:t xml:space="preserve">навчання – конструювання методів вирішення проблем); завершуватися навчання повинно  рефлексією </w:t>
      </w:r>
      <w:proofErr w:type="spellStart"/>
      <w:r w:rsidRPr="007A2EA5">
        <w:rPr>
          <w:rFonts w:eastAsia="Times New Roman"/>
          <w:sz w:val="28"/>
          <w:szCs w:val="28"/>
          <w:lang w:eastAsia="uk-UA"/>
        </w:rPr>
        <w:t>розв’язків</w:t>
      </w:r>
      <w:proofErr w:type="spellEnd"/>
      <w:r w:rsidRPr="007A2EA5">
        <w:rPr>
          <w:rFonts w:eastAsia="Times New Roman"/>
          <w:sz w:val="28"/>
          <w:szCs w:val="28"/>
          <w:lang w:eastAsia="uk-UA"/>
        </w:rPr>
        <w:t>, тобто прищепленням цінностей шляхом засвоєння уроків із розв’язування проблемних задач (усвідомлення важливості тих чи тих ідей).</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Окремою структурною складовою програм </w:t>
      </w:r>
      <w:r w:rsidRPr="007A2EA5">
        <w:rPr>
          <w:rFonts w:eastAsia="Times New Roman"/>
          <w:i/>
          <w:sz w:val="28"/>
          <w:szCs w:val="28"/>
          <w:lang w:eastAsia="uk-UA"/>
        </w:rPr>
        <w:t xml:space="preserve">є </w:t>
      </w:r>
      <w:r w:rsidRPr="007A2EA5">
        <w:rPr>
          <w:rFonts w:eastAsia="Times New Roman"/>
          <w:b/>
          <w:bCs/>
          <w:i/>
          <w:sz w:val="28"/>
          <w:szCs w:val="28"/>
          <w:bdr w:val="none" w:sz="0" w:space="0" w:color="auto" w:frame="1"/>
          <w:lang w:eastAsia="uk-UA"/>
        </w:rPr>
        <w:t>практичні заняття</w:t>
      </w:r>
      <w:r w:rsidRPr="007A2EA5">
        <w:rPr>
          <w:rFonts w:eastAsia="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w:t>
      </w:r>
      <w:proofErr w:type="spellStart"/>
      <w:r w:rsidRPr="007A2EA5">
        <w:rPr>
          <w:rFonts w:eastAsia="Times New Roman"/>
          <w:sz w:val="28"/>
          <w:szCs w:val="28"/>
          <w:lang w:eastAsia="uk-UA"/>
        </w:rPr>
        <w:t>уроках</w:t>
      </w:r>
      <w:proofErr w:type="spellEnd"/>
      <w:r w:rsidRPr="007A2EA5">
        <w:rPr>
          <w:rFonts w:eastAsia="Times New Roman"/>
          <w:sz w:val="28"/>
          <w:szCs w:val="28"/>
          <w:lang w:eastAsia="uk-UA"/>
        </w:rPr>
        <w:t xml:space="preserve"> учні/учениці за допомогою вчителя/вчительки мають можливість систематизувати та узагальнити вивчене, </w:t>
      </w:r>
      <w:proofErr w:type="spellStart"/>
      <w:r w:rsidRPr="007A2EA5">
        <w:rPr>
          <w:rFonts w:eastAsia="Times New Roman"/>
          <w:sz w:val="28"/>
          <w:szCs w:val="28"/>
          <w:lang w:eastAsia="uk-UA"/>
        </w:rPr>
        <w:t>відрефлексувати</w:t>
      </w:r>
      <w:proofErr w:type="spellEnd"/>
      <w:r w:rsidRPr="007A2EA5">
        <w:rPr>
          <w:rFonts w:eastAsia="Times New Roman"/>
          <w:sz w:val="28"/>
          <w:szCs w:val="28"/>
          <w:lang w:eastAsia="uk-UA"/>
        </w:rPr>
        <w:t xml:space="preserve"> процес навчання, реалізувати міжпредметні зв’язки.</w:t>
      </w:r>
    </w:p>
    <w:p w:rsidR="007A2EA5" w:rsidRPr="007A2EA5" w:rsidRDefault="007A2EA5" w:rsidP="007A2EA5">
      <w:pPr>
        <w:spacing w:after="0" w:line="240" w:lineRule="auto"/>
        <w:ind w:firstLine="567"/>
        <w:jc w:val="both"/>
        <w:rPr>
          <w:rFonts w:eastAsia="Times New Roman"/>
          <w:i/>
          <w:sz w:val="28"/>
          <w:szCs w:val="28"/>
          <w:lang w:eastAsia="uk-UA"/>
        </w:rPr>
      </w:pPr>
      <w:r w:rsidRPr="007A2EA5">
        <w:rPr>
          <w:rFonts w:eastAsia="Times New Roman"/>
          <w:sz w:val="28"/>
          <w:szCs w:val="28"/>
          <w:lang w:eastAsia="uk-UA"/>
        </w:rPr>
        <w:t>Ураховуючи важливість прав людини як наскрізного компонента усього освітнього процесу, особливу увагу потрібно приділити</w:t>
      </w:r>
      <w:r w:rsidRPr="007A2EA5">
        <w:rPr>
          <w:rFonts w:eastAsia="Times New Roman"/>
          <w:i/>
          <w:sz w:val="28"/>
          <w:szCs w:val="28"/>
          <w:lang w:eastAsia="uk-UA"/>
        </w:rPr>
        <w:t xml:space="preserve"> </w:t>
      </w:r>
      <w:r w:rsidRPr="007A2EA5">
        <w:rPr>
          <w:rFonts w:eastAsia="Calibri"/>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7A2EA5">
        <w:rPr>
          <w:rFonts w:eastAsia="Calibri"/>
          <w:i/>
          <w:iCs/>
          <w:sz w:val="28"/>
          <w:szCs w:val="28"/>
          <w:bdr w:val="none" w:sz="0" w:space="0" w:color="auto" w:frame="1"/>
          <w:lang w:eastAsia="uk-UA"/>
        </w:rPr>
        <w:t>пакта</w:t>
      </w:r>
      <w:proofErr w:type="spellEnd"/>
      <w:r w:rsidRPr="007A2EA5">
        <w:rPr>
          <w:rFonts w:eastAsia="Calibri"/>
          <w:i/>
          <w:iCs/>
          <w:sz w:val="28"/>
          <w:szCs w:val="28"/>
          <w:bdr w:val="none" w:sz="0" w:space="0" w:color="auto" w:frame="1"/>
          <w:lang w:eastAsia="uk-UA"/>
        </w:rPr>
        <w:t xml:space="preserve"> про громадянські і політичні права (1966) і Міжнародного </w:t>
      </w:r>
      <w:proofErr w:type="spellStart"/>
      <w:r w:rsidRPr="007A2EA5">
        <w:rPr>
          <w:rFonts w:eastAsia="Calibri"/>
          <w:i/>
          <w:iCs/>
          <w:sz w:val="28"/>
          <w:szCs w:val="28"/>
          <w:bdr w:val="none" w:sz="0" w:space="0" w:color="auto" w:frame="1"/>
          <w:lang w:eastAsia="uk-UA"/>
        </w:rPr>
        <w:t>пакта</w:t>
      </w:r>
      <w:proofErr w:type="spellEnd"/>
      <w:r w:rsidRPr="007A2EA5">
        <w:rPr>
          <w:rFonts w:eastAsia="Calibri"/>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7A2EA5">
        <w:rPr>
          <w:rFonts w:eastAsia="Times New Roman"/>
          <w:sz w:val="28"/>
          <w:szCs w:val="28"/>
          <w:lang w:val="ru-RU" w:eastAsia="uk-UA"/>
        </w:rPr>
        <w:t>;</w:t>
      </w:r>
      <w:r w:rsidRPr="007A2EA5">
        <w:rPr>
          <w:rFonts w:eastAsia="Times New Roman"/>
          <w:sz w:val="28"/>
          <w:szCs w:val="28"/>
          <w:lang w:eastAsia="uk-UA"/>
        </w:rPr>
        <w:t xml:space="preserve"> складання шлюбного договору або трудового договору, конституційної скарги тощо. </w:t>
      </w:r>
    </w:p>
    <w:p w:rsidR="007A2EA5" w:rsidRPr="007A2EA5" w:rsidRDefault="007A2EA5" w:rsidP="007A2EA5">
      <w:pPr>
        <w:tabs>
          <w:tab w:val="left" w:pos="142"/>
        </w:tabs>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Використання на </w:t>
      </w:r>
      <w:proofErr w:type="spellStart"/>
      <w:r w:rsidRPr="007A2EA5">
        <w:rPr>
          <w:rFonts w:eastAsia="Times New Roman"/>
          <w:sz w:val="28"/>
          <w:szCs w:val="28"/>
          <w:lang w:eastAsia="uk-UA"/>
        </w:rPr>
        <w:t>уроках</w:t>
      </w:r>
      <w:proofErr w:type="spellEnd"/>
      <w:r w:rsidRPr="007A2EA5">
        <w:rPr>
          <w:rFonts w:eastAsia="Times New Roman"/>
          <w:sz w:val="28"/>
          <w:szCs w:val="28"/>
          <w:lang w:eastAsia="uk-UA"/>
        </w:rPr>
        <w:t xml:space="preserve">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6" w:tgtFrame="_blank" w:history="1">
        <w:r w:rsidRPr="007A2EA5">
          <w:rPr>
            <w:rFonts w:eastAsia="Times New Roman"/>
            <w:color w:val="0000FF"/>
            <w:sz w:val="28"/>
            <w:szCs w:val="28"/>
            <w:u w:val="single"/>
            <w:bdr w:val="none" w:sz="0" w:space="0" w:color="auto" w:frame="1"/>
            <w:lang w:eastAsia="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7A2EA5">
        <w:rPr>
          <w:rFonts w:eastAsia="Times New Roman"/>
          <w:sz w:val="28"/>
          <w:szCs w:val="28"/>
          <w:lang w:eastAsia="uk-UA"/>
        </w:rPr>
        <w:t>» від 18.01.2018 р. № 2268-VIII, «</w:t>
      </w:r>
      <w:hyperlink r:id="rId7" w:tgtFrame="_blank" w:history="1">
        <w:r w:rsidRPr="007A2EA5">
          <w:rPr>
            <w:rFonts w:eastAsia="Times New Roman"/>
            <w:color w:val="0000FF"/>
            <w:sz w:val="28"/>
            <w:szCs w:val="28"/>
            <w:u w:val="single"/>
            <w:bdr w:val="none" w:sz="0" w:space="0" w:color="auto" w:frame="1"/>
            <w:lang w:eastAsia="uk-UA"/>
          </w:rPr>
          <w:t>Про запобігання та протидію домашньому насильству</w:t>
        </w:r>
      </w:hyperlink>
      <w:r w:rsidRPr="007A2EA5">
        <w:rPr>
          <w:rFonts w:eastAsia="Times New Roman"/>
          <w:sz w:val="28"/>
          <w:szCs w:val="28"/>
          <w:lang w:eastAsia="uk-UA"/>
        </w:rPr>
        <w:t xml:space="preserve">» від 07.12.2017 р. № 2229-VIII, </w:t>
      </w:r>
      <w:r w:rsidRPr="007A2EA5">
        <w:rPr>
          <w:rFonts w:eastAsia="Times New Roman"/>
          <w:sz w:val="28"/>
          <w:szCs w:val="28"/>
          <w:lang w:eastAsia="uk-UA"/>
        </w:rPr>
        <w:lastRenderedPageBreak/>
        <w:t xml:space="preserve">«Про освіту» від 05.09.2018 р. № 2145-VIII, зміни до процесуальних кодексів від 3.10.2017 р.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w:t>
      </w:r>
      <w:proofErr w:type="spellStart"/>
      <w:r w:rsidRPr="007A2EA5">
        <w:rPr>
          <w:rFonts w:eastAsia="Times New Roman"/>
          <w:sz w:val="28"/>
          <w:szCs w:val="28"/>
          <w:lang w:eastAsia="uk-UA"/>
        </w:rPr>
        <w:t>рубежем</w:t>
      </w:r>
      <w:proofErr w:type="spellEnd"/>
      <w:r w:rsidRPr="007A2EA5">
        <w:rPr>
          <w:rFonts w:eastAsia="Times New Roman"/>
          <w:sz w:val="28"/>
          <w:szCs w:val="28"/>
          <w:lang w:eastAsia="uk-UA"/>
        </w:rPr>
        <w:t xml:space="preserve">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Варіативні курси правознавчого й </w:t>
      </w:r>
      <w:proofErr w:type="spellStart"/>
      <w:r w:rsidRPr="007A2EA5">
        <w:rPr>
          <w:rFonts w:eastAsia="Times New Roman"/>
          <w:sz w:val="28"/>
          <w:szCs w:val="28"/>
          <w:lang w:eastAsia="uk-UA"/>
        </w:rPr>
        <w:t>громадянознавчого</w:t>
      </w:r>
      <w:proofErr w:type="spellEnd"/>
      <w:r w:rsidRPr="007A2EA5">
        <w:rPr>
          <w:rFonts w:eastAsia="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7A2EA5">
        <w:rPr>
          <w:rFonts w:eastAsia="Times New Roman"/>
          <w:sz w:val="28"/>
          <w:szCs w:val="28"/>
          <w:lang w:eastAsia="uk-UA"/>
        </w:rPr>
        <w:t>кл</w:t>
      </w:r>
      <w:proofErr w:type="spellEnd"/>
      <w:r w:rsidRPr="007A2EA5">
        <w:rPr>
          <w:rFonts w:eastAsia="Times New Roman"/>
          <w:sz w:val="28"/>
          <w:szCs w:val="28"/>
          <w:lang w:eastAsia="uk-UA"/>
        </w:rPr>
        <w:t>.); «Вчимося бути громадянами» (8 клас); «Ми – громадяни України» (9 клас).</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Варіативні курси правознавчого й </w:t>
      </w:r>
      <w:proofErr w:type="spellStart"/>
      <w:r w:rsidRPr="007A2EA5">
        <w:rPr>
          <w:rFonts w:eastAsia="Times New Roman"/>
          <w:sz w:val="28"/>
          <w:szCs w:val="28"/>
          <w:lang w:eastAsia="uk-UA"/>
        </w:rPr>
        <w:t>громадянознавчого</w:t>
      </w:r>
      <w:proofErr w:type="spellEnd"/>
      <w:r w:rsidRPr="007A2EA5">
        <w:rPr>
          <w:rFonts w:eastAsia="Times New Roman"/>
          <w:sz w:val="28"/>
          <w:szCs w:val="28"/>
          <w:lang w:eastAsia="uk-UA"/>
        </w:rPr>
        <w:t xml:space="preserve"> змісту в основній школі виконують роль пропедевтичних курсів та курсів </w:t>
      </w:r>
      <w:proofErr w:type="spellStart"/>
      <w:r w:rsidRPr="007A2EA5">
        <w:rPr>
          <w:rFonts w:eastAsia="Times New Roman"/>
          <w:sz w:val="28"/>
          <w:szCs w:val="28"/>
          <w:lang w:eastAsia="uk-UA"/>
        </w:rPr>
        <w:t>допрофільної</w:t>
      </w:r>
      <w:proofErr w:type="spellEnd"/>
      <w:r w:rsidRPr="007A2EA5">
        <w:rPr>
          <w:rFonts w:eastAsia="Times New Roman"/>
          <w:sz w:val="28"/>
          <w:szCs w:val="28"/>
          <w:lang w:eastAsia="uk-UA"/>
        </w:rPr>
        <w:t xml:space="preserve"> підготовки учнів. Це «Живи за правилами» (7–8 </w:t>
      </w:r>
      <w:proofErr w:type="spellStart"/>
      <w:r w:rsidRPr="007A2EA5">
        <w:rPr>
          <w:rFonts w:eastAsia="Times New Roman"/>
          <w:sz w:val="28"/>
          <w:szCs w:val="28"/>
          <w:lang w:eastAsia="uk-UA"/>
        </w:rPr>
        <w:t>кл</w:t>
      </w:r>
      <w:proofErr w:type="spellEnd"/>
      <w:r w:rsidRPr="007A2EA5">
        <w:rPr>
          <w:rFonts w:eastAsia="Times New Roman"/>
          <w:sz w:val="28"/>
          <w:szCs w:val="28"/>
          <w:lang w:eastAsia="uk-UA"/>
        </w:rPr>
        <w:t>.); «Вчимося бути громадянами» (8 клас); «Ми – громадяни України» (9 клас).</w:t>
      </w:r>
    </w:p>
    <w:p w:rsidR="007A2EA5" w:rsidRPr="007A2EA5" w:rsidRDefault="007A2EA5" w:rsidP="007A2EA5">
      <w:pPr>
        <w:widowControl w:val="0"/>
        <w:tabs>
          <w:tab w:val="left" w:pos="6237"/>
        </w:tabs>
        <w:spacing w:after="0" w:line="240" w:lineRule="auto"/>
        <w:ind w:firstLine="708"/>
        <w:jc w:val="both"/>
        <w:rPr>
          <w:rFonts w:eastAsia="Times New Roman"/>
          <w:sz w:val="28"/>
          <w:szCs w:val="28"/>
          <w:lang w:eastAsia="ru-RU"/>
        </w:rPr>
      </w:pPr>
      <w:r w:rsidRPr="007A2EA5">
        <w:rPr>
          <w:rFonts w:eastAsia="Times New Roman"/>
          <w:sz w:val="28"/>
          <w:szCs w:val="28"/>
          <w:lang w:eastAsia="ru-RU"/>
        </w:rPr>
        <w:t>В умовах війни України з Росією   вкрай актуальним є вивчення курсу</w:t>
      </w:r>
      <w:r w:rsidRPr="007A2EA5">
        <w:rPr>
          <w:rFonts w:eastAsia="Times New Roman"/>
          <w:b/>
          <w:bCs/>
          <w:sz w:val="28"/>
          <w:szCs w:val="28"/>
          <w:lang w:eastAsia="ru-RU"/>
        </w:rPr>
        <w:t xml:space="preserve"> </w:t>
      </w:r>
      <w:r w:rsidRPr="007A2EA5">
        <w:rPr>
          <w:rFonts w:eastAsia="Times New Roman"/>
          <w:sz w:val="28"/>
          <w:szCs w:val="28"/>
          <w:lang w:eastAsia="ru-RU"/>
        </w:rPr>
        <w:t xml:space="preserve">за вибором  </w:t>
      </w:r>
      <w:r w:rsidRPr="007A2EA5">
        <w:rPr>
          <w:rFonts w:eastAsia="Times New Roman"/>
          <w:sz w:val="28"/>
          <w:szCs w:val="28"/>
          <w:lang w:val="ru-RU" w:eastAsia="ru-RU"/>
        </w:rPr>
        <w:t>«</w:t>
      </w:r>
      <w:proofErr w:type="spellStart"/>
      <w:r w:rsidRPr="007A2EA5">
        <w:rPr>
          <w:rFonts w:eastAsia="Times New Roman"/>
          <w:sz w:val="28"/>
          <w:szCs w:val="28"/>
          <w:lang w:val="ru-RU" w:eastAsia="ru-RU"/>
        </w:rPr>
        <w:t>Міжнародне</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гуманітарне</w:t>
      </w:r>
      <w:proofErr w:type="spellEnd"/>
      <w:r w:rsidRPr="007A2EA5">
        <w:rPr>
          <w:rFonts w:eastAsia="Times New Roman"/>
          <w:sz w:val="28"/>
          <w:szCs w:val="28"/>
          <w:lang w:val="ru-RU" w:eastAsia="ru-RU"/>
        </w:rPr>
        <w:t xml:space="preserve"> право» (для </w:t>
      </w:r>
      <w:proofErr w:type="spellStart"/>
      <w:r w:rsidRPr="007A2EA5">
        <w:rPr>
          <w:rFonts w:eastAsia="Times New Roman"/>
          <w:sz w:val="28"/>
          <w:szCs w:val="28"/>
          <w:lang w:val="ru-RU" w:eastAsia="ru-RU"/>
        </w:rPr>
        <w:t>учнів</w:t>
      </w:r>
      <w:proofErr w:type="spellEnd"/>
      <w:r w:rsidRPr="007A2EA5">
        <w:rPr>
          <w:rFonts w:eastAsia="Times New Roman"/>
          <w:sz w:val="28"/>
          <w:szCs w:val="28"/>
          <w:lang w:val="ru-RU" w:eastAsia="ru-RU"/>
        </w:rPr>
        <w:t xml:space="preserve"> 10 (11) </w:t>
      </w:r>
      <w:proofErr w:type="spellStart"/>
      <w:r w:rsidRPr="007A2EA5">
        <w:rPr>
          <w:rFonts w:eastAsia="Times New Roman"/>
          <w:sz w:val="28"/>
          <w:szCs w:val="28"/>
          <w:lang w:val="ru-RU" w:eastAsia="ru-RU"/>
        </w:rPr>
        <w:t>класів</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закладів</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загальної</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середньої</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освіти</w:t>
      </w:r>
      <w:proofErr w:type="spellEnd"/>
      <w:r w:rsidRPr="007A2EA5">
        <w:rPr>
          <w:rFonts w:eastAsia="Times New Roman"/>
          <w:sz w:val="28"/>
          <w:szCs w:val="28"/>
          <w:lang w:val="ru-RU" w:eastAsia="ru-RU"/>
        </w:rPr>
        <w:t>)</w:t>
      </w:r>
      <w:r w:rsidRPr="007A2EA5">
        <w:rPr>
          <w:rFonts w:eastAsia="Times New Roman"/>
          <w:sz w:val="28"/>
          <w:szCs w:val="28"/>
          <w:lang w:eastAsia="ru-RU"/>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875B8B" w:rsidRDefault="00875B8B"/>
    <w:sectPr w:rsidR="00875B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A5"/>
    <w:rsid w:val="007A2EA5"/>
    <w:rsid w:val="00875B8B"/>
    <w:rsid w:val="00C91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5638-A04F-4B3B-AED6-00451C8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5437">
      <w:bodyDiv w:val="1"/>
      <w:marLeft w:val="0"/>
      <w:marRight w:val="0"/>
      <w:marTop w:val="0"/>
      <w:marBottom w:val="0"/>
      <w:divBdr>
        <w:top w:val="none" w:sz="0" w:space="0" w:color="auto"/>
        <w:left w:val="none" w:sz="0" w:space="0" w:color="auto"/>
        <w:bottom w:val="none" w:sz="0" w:space="0" w:color="auto"/>
        <w:right w:val="none" w:sz="0" w:space="0" w:color="auto"/>
      </w:divBdr>
    </w:div>
    <w:div w:id="19803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222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268-19" TargetMode="External"/><Relationship Id="rId5" Type="http://schemas.openxmlformats.org/officeDocument/2006/relationships/hyperlink" Target="http://www.mon.gov.ua/"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7304</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2018-07-09T14:13:00Z</dcterms:created>
  <dcterms:modified xsi:type="dcterms:W3CDTF">2018-07-09T14:13:00Z</dcterms:modified>
</cp:coreProperties>
</file>